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59C" w:rsidRPr="000C759C" w:rsidRDefault="000C759C" w:rsidP="000C759C">
      <w:pPr>
        <w:shd w:val="clear" w:color="auto" w:fill="FFFFFF"/>
        <w:spacing w:after="255" w:line="480" w:lineRule="atLeast"/>
        <w:outlineLvl w:val="0"/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</w:pPr>
      <w:r w:rsidRPr="000C759C">
        <w:rPr>
          <w:rFonts w:ascii="Arial" w:eastAsia="Times New Roman" w:hAnsi="Arial" w:cs="Arial"/>
          <w:b/>
          <w:bCs/>
          <w:color w:val="4D4D4D"/>
          <w:kern w:val="36"/>
          <w:sz w:val="45"/>
          <w:szCs w:val="45"/>
          <w:lang w:eastAsia="ru-RU"/>
        </w:rPr>
        <w:t>Противодействие коррупции в учреждении: 7 советов по организации и оформлению работы</w:t>
      </w:r>
    </w:p>
    <w:p w:rsidR="000C759C" w:rsidRPr="000C759C" w:rsidRDefault="000C759C" w:rsidP="000C759C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C759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 декабря 2020</w:t>
      </w:r>
    </w:p>
    <w:p w:rsidR="000C759C" w:rsidRPr="000C759C" w:rsidRDefault="000C759C" w:rsidP="000C75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5066A" w:rsidRDefault="00C5066A" w:rsidP="000C759C">
      <w:pPr>
        <w:shd w:val="clear" w:color="auto" w:fill="FFFFFF"/>
        <w:spacing w:after="255" w:line="336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</w:p>
    <w:p w:rsidR="000C759C" w:rsidRPr="000C759C" w:rsidRDefault="000C759C" w:rsidP="000C759C">
      <w:pPr>
        <w:shd w:val="clear" w:color="auto" w:fill="FFFFFF"/>
        <w:spacing w:after="255" w:line="336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0C759C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Эксперт службы Правового консалтинга ГАРАНТ</w:t>
      </w:r>
    </w:p>
    <w:p w:rsidR="000C759C" w:rsidRPr="000C759C" w:rsidRDefault="000C759C" w:rsidP="000C759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0C759C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специально для ГАРАНТ</w:t>
      </w:r>
      <w:proofErr w:type="gramStart"/>
      <w:r w:rsidRPr="000C759C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.Р</w:t>
      </w:r>
      <w:proofErr w:type="gramEnd"/>
      <w:r w:rsidRPr="000C759C">
        <w:rPr>
          <w:rFonts w:ascii="Arial" w:eastAsia="Times New Roman" w:hAnsi="Arial" w:cs="Arial"/>
          <w:color w:val="666666"/>
          <w:sz w:val="18"/>
          <w:szCs w:val="18"/>
          <w:lang w:eastAsia="ru-RU"/>
        </w:rPr>
        <w:t>У</w:t>
      </w:r>
    </w:p>
    <w:p w:rsidR="000C759C" w:rsidRPr="000C759C" w:rsidRDefault="000C759C" w:rsidP="000C759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Противодействие коррупции – это деятельность не только органов власти всех уровней, но и организаций всех форм собственности в пределах их полномочий (п. 2 ст. 1 Федерального закона от 25 декабря 2008 г. № 273-ФЗ "</w:t>
      </w:r>
      <w:hyperlink r:id="rId5" w:anchor="block_102" w:history="1">
        <w:r w:rsidRPr="000C759C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О противодействии коррупции</w:t>
        </w:r>
      </w:hyperlink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 (далее – Закон № 273-ФЗ).</w:t>
      </w:r>
      <w:proofErr w:type="gramEnd"/>
    </w:p>
    <w:p w:rsidR="000C759C" w:rsidRPr="000C759C" w:rsidRDefault="000C759C" w:rsidP="000C759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Под термином "коррупция" понимается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</w:t>
      </w:r>
      <w:proofErr w:type="gramEnd"/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другими физическими лицами, а также совершение указанных деяний от имени или в интересах юридического лица (</w:t>
      </w:r>
      <w:hyperlink r:id="rId6" w:anchor="block_101" w:history="1">
        <w:r w:rsidRPr="000C759C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п. 1 ст. 1 Закона № 273-ФЗ</w:t>
        </w:r>
      </w:hyperlink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:rsidR="000C759C" w:rsidRPr="000C759C" w:rsidRDefault="000C759C" w:rsidP="000C759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Согласно </w:t>
      </w:r>
      <w:hyperlink r:id="rId7" w:anchor="block_13301" w:history="1">
        <w:proofErr w:type="gramStart"/>
        <w:r w:rsidRPr="000C759C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ч</w:t>
        </w:r>
        <w:proofErr w:type="gramEnd"/>
        <w:r w:rsidRPr="000C759C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. 1 ст. 13.3 Закона № 273-ФЗ</w:t>
        </w:r>
      </w:hyperlink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организации обязаны разрабатывать и принимать меры по предупреждению коррупции. </w:t>
      </w:r>
      <w:proofErr w:type="gramStart"/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 невыполнение организациями обязанностей, предусмотренных </w:t>
      </w:r>
      <w:hyperlink r:id="rId8" w:anchor="block_133" w:history="1">
        <w:r w:rsidRPr="000C759C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ст. 13.3 Закона № 273-ФЗ</w:t>
        </w:r>
      </w:hyperlink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 предусмотрена административная ответственность, в то же время такое бездействие является нарушением законодательства о противодействии коррупции (смотрите, например, </w:t>
      </w:r>
      <w:hyperlink r:id="rId9" w:history="1">
        <w:r w:rsidRPr="000C759C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решение Ленинского районного суда г. Орска Оренбургской области от 21 июля 2014 г. по делу № 2-1205/2014</w:t>
        </w:r>
      </w:hyperlink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 </w:t>
      </w:r>
      <w:hyperlink r:id="rId10" w:history="1">
        <w:r w:rsidRPr="000C759C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 xml:space="preserve">решение </w:t>
        </w:r>
        <w:proofErr w:type="spellStart"/>
        <w:r w:rsidRPr="000C759C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Карсунского</w:t>
        </w:r>
        <w:proofErr w:type="spellEnd"/>
        <w:r w:rsidRPr="000C759C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 xml:space="preserve"> районного суда Ульяновской области от 12 августа 2020 г. по делу № 2а-2-155/2020</w:t>
        </w:r>
      </w:hyperlink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 </w:t>
      </w:r>
      <w:hyperlink r:id="rId11" w:history="1">
        <w:r w:rsidRPr="000C759C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решение</w:t>
        </w:r>
        <w:proofErr w:type="gramEnd"/>
        <w:r w:rsidRPr="000C759C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 xml:space="preserve"> </w:t>
        </w:r>
        <w:proofErr w:type="gramStart"/>
        <w:r w:rsidRPr="000C759C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Октябрьского районного суда г. Грозного Чеченской Республики от 6 апреля 2020 г. по делу № 2-306/2020</w:t>
        </w:r>
      </w:hyperlink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 </w:t>
      </w:r>
      <w:hyperlink r:id="rId12" w:history="1">
        <w:r w:rsidRPr="000C759C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решение Новоселицкого районного суда Ставропольского края от 19 августа 2020 г. по делу № 2-289/2020</w:t>
        </w:r>
      </w:hyperlink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 </w:t>
      </w:r>
      <w:hyperlink r:id="rId13" w:history="1">
        <w:r w:rsidRPr="000C759C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 xml:space="preserve">решение </w:t>
        </w:r>
        <w:proofErr w:type="spellStart"/>
        <w:r w:rsidRPr="000C759C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Ессентукского</w:t>
        </w:r>
        <w:proofErr w:type="spellEnd"/>
        <w:r w:rsidRPr="000C759C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 xml:space="preserve"> городского суда Ставропольского края от 13 июля 2020 г. по делу № 2а-1032/2020</w:t>
        </w:r>
      </w:hyperlink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</w:t>
      </w:r>
      <w:hyperlink r:id="rId14" w:history="1">
        <w:r w:rsidRPr="000C759C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 xml:space="preserve"> решение </w:t>
        </w:r>
        <w:proofErr w:type="spellStart"/>
        <w:r w:rsidRPr="000C759C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Ессентукского</w:t>
        </w:r>
        <w:proofErr w:type="spellEnd"/>
        <w:r w:rsidRPr="000C759C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 xml:space="preserve"> городского суда Ставропольского края от 14 мая 2020 г. по делу № 2а-654</w:t>
        </w:r>
        <w:proofErr w:type="gramEnd"/>
        <w:r w:rsidRPr="000C759C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/</w:t>
        </w:r>
        <w:proofErr w:type="gramStart"/>
        <w:r w:rsidRPr="000C759C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2020</w:t>
        </w:r>
      </w:hyperlink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 </w:t>
      </w:r>
      <w:hyperlink r:id="rId15" w:history="1">
        <w:r w:rsidRPr="000C759C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решение Новочеркасского городского суда Ростовской области от 12 марта 2019 г. по делу № 2-830/2019</w:t>
        </w:r>
      </w:hyperlink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  <w:proofErr w:type="gramEnd"/>
    </w:p>
    <w:p w:rsidR="000C759C" w:rsidRPr="000C759C" w:rsidRDefault="000C759C" w:rsidP="000C759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Согласно</w:t>
      </w:r>
      <w:hyperlink r:id="rId16" w:anchor="p_6742744" w:history="1">
        <w:r w:rsidRPr="000C759C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 п. 1</w:t>
        </w:r>
      </w:hyperlink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п. 2 ст. 1 Федерального закона от 17 января 1992 г. № 2202-I "</w:t>
      </w:r>
      <w:hyperlink r:id="rId17" w:anchor="p_276" w:history="1">
        <w:r w:rsidRPr="000C759C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О прокуратуре Российской Федерации</w:t>
        </w:r>
      </w:hyperlink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", проверкой исполнения законодательства о коррупции занимается прокуратура. Чтобы избежать возможных претензий проверяющих, мы приготовили для вас несколько советов.</w:t>
      </w:r>
    </w:p>
    <w:p w:rsidR="000C759C" w:rsidRPr="000C759C" w:rsidRDefault="000C759C" w:rsidP="000C759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0C759C" w:rsidRPr="000C759C" w:rsidRDefault="000C759C" w:rsidP="000C759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759C">
        <w:rPr>
          <w:rFonts w:ascii="Arial" w:eastAsia="Times New Roman" w:hAnsi="Arial" w:cs="Arial"/>
          <w:b/>
          <w:bCs/>
          <w:color w:val="0060AE"/>
          <w:sz w:val="29"/>
          <w:lang w:eastAsia="ru-RU"/>
        </w:rPr>
        <w:lastRenderedPageBreak/>
        <w:t>Совет 1. Определите подразделение или должностных лиц, ответственных за профилактику коррупционных и иных правонарушений.</w:t>
      </w:r>
    </w:p>
    <w:p w:rsidR="000C759C" w:rsidRPr="000C759C" w:rsidRDefault="000C759C" w:rsidP="000C759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Для более качественного выполнения </w:t>
      </w:r>
      <w:proofErr w:type="spellStart"/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антикоррупционной</w:t>
      </w:r>
      <w:proofErr w:type="spellEnd"/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работы рекомендуем привлекать специалистов, обладающих соответствующими знаниями и опытом.</w:t>
      </w:r>
    </w:p>
    <w:p w:rsidR="000C759C" w:rsidRPr="000C759C" w:rsidRDefault="000C759C" w:rsidP="000C759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 распределении функций внутри учреждения важно определить целесообразность назначения отдельных лиц или подразделений, </w:t>
      </w:r>
      <w:proofErr w:type="gramStart"/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ответственными</w:t>
      </w:r>
      <w:proofErr w:type="gramEnd"/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за </w:t>
      </w:r>
      <w:proofErr w:type="spellStart"/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антикоррупционную</w:t>
      </w:r>
      <w:proofErr w:type="spellEnd"/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работу. В то же время, если ресурсы учреждения не позволяют создать отдельное подразделение, следует распределить функции по предупреждению коррупции между работниками одного или нескольких подразделений, например, в виде создания комиссии.</w:t>
      </w:r>
    </w:p>
    <w:p w:rsidR="000C759C" w:rsidRPr="000C759C" w:rsidRDefault="000C759C" w:rsidP="000C759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Организуйте профессиональную переподготовку, повышение квалификации и стажировку специалистов, в должностные обязанности которых входит профилактика коррупционных правонарушений.</w:t>
      </w:r>
    </w:p>
    <w:p w:rsidR="000C759C" w:rsidRPr="000C759C" w:rsidRDefault="000C759C" w:rsidP="000C759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Примерные перечни основных вопросов, рекомендуемых к освоению в рамках дополнительных профессиональных программ </w:t>
      </w:r>
      <w:proofErr w:type="spellStart"/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антикоррупционной</w:t>
      </w:r>
      <w:proofErr w:type="spellEnd"/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тематики и подготовленные Минтрудом России, размещены на официальном сайте по адресу: https://rosmintrud.ru/ministry/programms/anticorruption/017.</w:t>
      </w:r>
    </w:p>
    <w:p w:rsidR="000C759C" w:rsidRPr="000C759C" w:rsidRDefault="000C759C" w:rsidP="000C759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0C759C" w:rsidRPr="000C759C" w:rsidRDefault="000C759C" w:rsidP="000C759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759C">
        <w:rPr>
          <w:rFonts w:ascii="Arial" w:eastAsia="Times New Roman" w:hAnsi="Arial" w:cs="Arial"/>
          <w:b/>
          <w:bCs/>
          <w:color w:val="0060AE"/>
          <w:sz w:val="29"/>
          <w:lang w:eastAsia="ru-RU"/>
        </w:rPr>
        <w:t>Совет 2. Составьте план противодействия коррупции.</w:t>
      </w:r>
    </w:p>
    <w:p w:rsidR="000C759C" w:rsidRPr="000C759C" w:rsidRDefault="000C759C" w:rsidP="000C759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Определите мероприятия, ожидаемые результаты, сроки и конкретные даты в которые должны быть приняты локальные акты в учреждении, а также исполнены мероприятия. В план также целесообразно включить сроки сдачи справок о доходах, расходах, об имуществе и обязательствах имущественного характера.</w:t>
      </w:r>
    </w:p>
    <w:p w:rsidR="000C759C" w:rsidRPr="000C759C" w:rsidRDefault="000C759C" w:rsidP="000C759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Смотрите, например: приказ Министерства культуры РФ от 27 августа 2018 г. № 1529 "</w:t>
      </w:r>
      <w:hyperlink r:id="rId18" w:history="1">
        <w:r w:rsidRPr="000C759C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Об утверждении Плана по противодействию коррупции Министерства культуры Российской Федерации на 2018-2020 годы</w:t>
        </w:r>
      </w:hyperlink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".</w:t>
      </w:r>
    </w:p>
    <w:p w:rsidR="000C759C" w:rsidRPr="000C759C" w:rsidRDefault="000C759C" w:rsidP="000C759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0C759C" w:rsidRPr="000C759C" w:rsidRDefault="000C759C" w:rsidP="000C759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759C">
        <w:rPr>
          <w:rFonts w:ascii="Arial" w:eastAsia="Times New Roman" w:hAnsi="Arial" w:cs="Arial"/>
          <w:b/>
          <w:bCs/>
          <w:color w:val="0060AE"/>
          <w:sz w:val="29"/>
          <w:lang w:eastAsia="ru-RU"/>
        </w:rPr>
        <w:t>Совет 3. Проведите оценку коррупционных рисков и составьте карту коррупционных рисков.</w:t>
      </w:r>
    </w:p>
    <w:p w:rsidR="000C759C" w:rsidRPr="000C759C" w:rsidRDefault="000C759C" w:rsidP="000C759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Грамотно составленная карта коррупционных рисков поможет построить эффективную (адресную) систему мер противодействия коррупции, при этом позволив сэкономить ресурсы </w:t>
      </w:r>
      <w:proofErr w:type="gramStart"/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учреждения</w:t>
      </w:r>
      <w:proofErr w:type="gramEnd"/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исключив избыточные меры из его </w:t>
      </w:r>
      <w:proofErr w:type="spellStart"/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антикоррупционной</w:t>
      </w:r>
      <w:proofErr w:type="spellEnd"/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политики.</w:t>
      </w:r>
    </w:p>
    <w:p w:rsidR="000C759C" w:rsidRPr="000C759C" w:rsidRDefault="000C759C" w:rsidP="000C759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Понимание того, какие коррупционные правонарушения могут быть совершены работниками учреждения, является важнейшим этапом построения системы мер по противодействию коррупции в учреждении.</w:t>
      </w:r>
    </w:p>
    <w:p w:rsidR="000C759C" w:rsidRPr="000C759C" w:rsidRDefault="000C759C" w:rsidP="000C759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Рекомендуем ознакомиться с:</w:t>
      </w:r>
    </w:p>
    <w:p w:rsidR="000C759C" w:rsidRPr="000C759C" w:rsidRDefault="000C759C" w:rsidP="000C759C">
      <w:pPr>
        <w:numPr>
          <w:ilvl w:val="0"/>
          <w:numId w:val="1"/>
        </w:numPr>
        <w:shd w:val="clear" w:color="auto" w:fill="FFFFFF"/>
        <w:spacing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рекомендациями по порядку проведения оценки коррупционных рисков в организации (утв. Минтрудом России, 18 сентября 2019 г.);</w:t>
      </w:r>
    </w:p>
    <w:p w:rsidR="000C759C" w:rsidRPr="000C759C" w:rsidRDefault="000C759C" w:rsidP="000C759C">
      <w:pPr>
        <w:numPr>
          <w:ilvl w:val="0"/>
          <w:numId w:val="1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письмом Минтруда России от 25 декабря 2014 г. № 18-0/10/В-8980 "</w:t>
      </w:r>
      <w:hyperlink r:id="rId19" w:history="1">
        <w:r w:rsidRPr="000C759C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О проведении федеральными государственными органами оценки коррупционных рисков</w:t>
        </w:r>
      </w:hyperlink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".</w:t>
      </w:r>
    </w:p>
    <w:p w:rsidR="000C759C" w:rsidRPr="000C759C" w:rsidRDefault="000C759C" w:rsidP="000C759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0C759C" w:rsidRPr="000C759C" w:rsidRDefault="000C759C" w:rsidP="000C759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759C">
        <w:rPr>
          <w:rFonts w:ascii="Arial" w:eastAsia="Times New Roman" w:hAnsi="Arial" w:cs="Arial"/>
          <w:b/>
          <w:bCs/>
          <w:color w:val="0060AE"/>
          <w:sz w:val="29"/>
          <w:lang w:eastAsia="ru-RU"/>
        </w:rPr>
        <w:t xml:space="preserve">Совет 4. Разработайте </w:t>
      </w:r>
      <w:proofErr w:type="spellStart"/>
      <w:r w:rsidRPr="000C759C">
        <w:rPr>
          <w:rFonts w:ascii="Arial" w:eastAsia="Times New Roman" w:hAnsi="Arial" w:cs="Arial"/>
          <w:b/>
          <w:bCs/>
          <w:color w:val="0060AE"/>
          <w:sz w:val="29"/>
          <w:lang w:eastAsia="ru-RU"/>
        </w:rPr>
        <w:t>антикоррупционную</w:t>
      </w:r>
      <w:proofErr w:type="spellEnd"/>
      <w:r w:rsidRPr="000C759C">
        <w:rPr>
          <w:rFonts w:ascii="Arial" w:eastAsia="Times New Roman" w:hAnsi="Arial" w:cs="Arial"/>
          <w:b/>
          <w:bCs/>
          <w:color w:val="0060AE"/>
          <w:sz w:val="29"/>
          <w:lang w:eastAsia="ru-RU"/>
        </w:rPr>
        <w:t xml:space="preserve"> политику.</w:t>
      </w:r>
    </w:p>
    <w:p w:rsidR="000C759C" w:rsidRPr="000C759C" w:rsidRDefault="000C759C" w:rsidP="000C759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Разработчиком </w:t>
      </w:r>
      <w:proofErr w:type="spellStart"/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антикоррупционной</w:t>
      </w:r>
      <w:proofErr w:type="spellEnd"/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политики учреждения может выступать работник или структурное подразделение учреждения, на которых возложены функции по предупреждению коррупции. Крупным и средним учреждениям, располагающим достаточными финансовыми ресурсами, к разработке и последующей реализации соответствующей </w:t>
      </w:r>
      <w:proofErr w:type="spellStart"/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антикоррупционной</w:t>
      </w:r>
      <w:proofErr w:type="spellEnd"/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политики могут привлекаться внешние эксперты (Информация Минтруда России от 18 сентября 2019 г. "</w:t>
      </w:r>
      <w:hyperlink r:id="rId20" w:history="1">
        <w:r w:rsidRPr="000C759C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Меры по предупреждению коррупции в организациях</w:t>
        </w:r>
      </w:hyperlink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").</w:t>
      </w:r>
    </w:p>
    <w:p w:rsidR="000C759C" w:rsidRPr="000C759C" w:rsidRDefault="000C759C" w:rsidP="000C759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0C759C" w:rsidRPr="000C759C" w:rsidRDefault="000C759C" w:rsidP="000C759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759C">
        <w:rPr>
          <w:rFonts w:ascii="Arial" w:eastAsia="Times New Roman" w:hAnsi="Arial" w:cs="Arial"/>
          <w:b/>
          <w:bCs/>
          <w:color w:val="0060AE"/>
          <w:sz w:val="29"/>
          <w:lang w:eastAsia="ru-RU"/>
        </w:rPr>
        <w:t xml:space="preserve">Совет 5. Примите </w:t>
      </w:r>
      <w:proofErr w:type="spellStart"/>
      <w:r w:rsidRPr="000C759C">
        <w:rPr>
          <w:rFonts w:ascii="Arial" w:eastAsia="Times New Roman" w:hAnsi="Arial" w:cs="Arial"/>
          <w:b/>
          <w:bCs/>
          <w:color w:val="0060AE"/>
          <w:sz w:val="29"/>
          <w:lang w:eastAsia="ru-RU"/>
        </w:rPr>
        <w:t>антикоррупционные</w:t>
      </w:r>
      <w:proofErr w:type="spellEnd"/>
      <w:r w:rsidRPr="000C759C">
        <w:rPr>
          <w:rFonts w:ascii="Arial" w:eastAsia="Times New Roman" w:hAnsi="Arial" w:cs="Arial"/>
          <w:b/>
          <w:bCs/>
          <w:color w:val="0060AE"/>
          <w:sz w:val="29"/>
          <w:lang w:eastAsia="ru-RU"/>
        </w:rPr>
        <w:t xml:space="preserve"> стандарты, кодексы, положения и т.п.</w:t>
      </w:r>
    </w:p>
    <w:p w:rsidR="000C759C" w:rsidRPr="000C759C" w:rsidRDefault="000C759C" w:rsidP="000C759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Они могут быть разработаны отдельно или быть приложениями к учетной политике. Основной вопрос, который должен быть ими урегулирован, – это конфликт интересов, а именно:</w:t>
      </w:r>
    </w:p>
    <w:p w:rsidR="000C759C" w:rsidRPr="000C759C" w:rsidRDefault="000C759C" w:rsidP="000C759C">
      <w:pPr>
        <w:numPr>
          <w:ilvl w:val="0"/>
          <w:numId w:val="2"/>
        </w:numPr>
        <w:shd w:val="clear" w:color="auto" w:fill="FFFFFF"/>
        <w:spacing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круг лиц, попадающих под действие положения о конфликте интересов;</w:t>
      </w:r>
    </w:p>
    <w:p w:rsidR="000C759C" w:rsidRPr="000C759C" w:rsidRDefault="000C759C" w:rsidP="000C759C">
      <w:pPr>
        <w:numPr>
          <w:ilvl w:val="0"/>
          <w:numId w:val="2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принципы раскрытия и урегулирования конфликта интересов в учреждении;</w:t>
      </w:r>
    </w:p>
    <w:p w:rsidR="000C759C" w:rsidRPr="000C759C" w:rsidRDefault="000C759C" w:rsidP="000C759C">
      <w:pPr>
        <w:numPr>
          <w:ilvl w:val="0"/>
          <w:numId w:val="2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действия работников в связи с предупреждением, раскрытием и урегулированием конфликта интересов и порядок их осуществления;</w:t>
      </w:r>
    </w:p>
    <w:p w:rsidR="000C759C" w:rsidRPr="000C759C" w:rsidRDefault="000C759C" w:rsidP="000C759C">
      <w:pPr>
        <w:numPr>
          <w:ilvl w:val="0"/>
          <w:numId w:val="2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порядок декларирования (раскрытия) конфликта интересов;</w:t>
      </w:r>
    </w:p>
    <w:p w:rsidR="000C759C" w:rsidRPr="000C759C" w:rsidRDefault="000C759C" w:rsidP="000C759C">
      <w:pPr>
        <w:numPr>
          <w:ilvl w:val="0"/>
          <w:numId w:val="2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определение лиц, ответственных за прием сведений о возникшем конфликте интересов и рассмотрение этих сведений.</w:t>
      </w:r>
    </w:p>
    <w:p w:rsidR="000C759C" w:rsidRPr="000C759C" w:rsidRDefault="000C759C" w:rsidP="000C759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разработке положения о конфликте интересов, следует учитывать специальные требования законодательства в вашей сфере деятельности (смотрите, например, ст. 75 Федерального закона от 21 ноября 2012 г. № 323-ФЗ "</w:t>
      </w:r>
      <w:hyperlink r:id="rId21" w:history="1">
        <w:r w:rsidRPr="000C759C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Об основах охраны здоровья граждан в Российской Федерации</w:t>
        </w:r>
      </w:hyperlink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", п. 33 ст. 2 Федерального закона от 21 ноября 2011 г. № 323-ФЗ "</w:t>
      </w:r>
      <w:hyperlink r:id="rId22" w:anchor="block_2" w:history="1">
        <w:r w:rsidRPr="000C759C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Об основах охраны здоровья граждан в Российской Федерации</w:t>
        </w:r>
      </w:hyperlink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", ч. 3 ст. 8 Федерального</w:t>
      </w:r>
      <w:proofErr w:type="gramEnd"/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закона от 30 декабря 2008 № 307-ФЗ "</w:t>
      </w:r>
      <w:hyperlink r:id="rId23" w:anchor="block_83" w:history="1">
        <w:r w:rsidRPr="000C759C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Об аудиторской деятельности</w:t>
        </w:r>
      </w:hyperlink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", п. 9 ч. 1 ст. 31 Федерального закона от 5 апреля 2013 г. № 44-ФЗ "</w:t>
      </w:r>
      <w:hyperlink r:id="rId24" w:anchor="block_3119" w:history="1">
        <w:r w:rsidRPr="000C759C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О контрактной системе в сфере закупок товаров, работ, услуг для обеспечения государственных (муниципальных) нужд</w:t>
        </w:r>
      </w:hyperlink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 и т.д.).</w:t>
      </w:r>
    </w:p>
    <w:p w:rsidR="000C759C" w:rsidRPr="000C759C" w:rsidRDefault="000C759C" w:rsidP="000C759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Вместе с тем, важным инструментом предупреждения коррупции в учреждении является установление для работников стандартов и кодексов поведения, корыте могут установить определенные правила, например:</w:t>
      </w:r>
    </w:p>
    <w:p w:rsidR="000C759C" w:rsidRPr="000C759C" w:rsidRDefault="000C759C" w:rsidP="000C759C">
      <w:pPr>
        <w:numPr>
          <w:ilvl w:val="0"/>
          <w:numId w:val="3"/>
        </w:numPr>
        <w:shd w:val="clear" w:color="auto" w:fill="FFFFFF"/>
        <w:spacing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этики и служебного поведения работников учреждения;</w:t>
      </w:r>
    </w:p>
    <w:p w:rsidR="000C759C" w:rsidRPr="000C759C" w:rsidRDefault="000C759C" w:rsidP="000C759C">
      <w:pPr>
        <w:numPr>
          <w:ilvl w:val="0"/>
          <w:numId w:val="3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обмена деловыми подарками и знаками делового гостеприимства;</w:t>
      </w:r>
    </w:p>
    <w:p w:rsidR="000C759C" w:rsidRPr="000C759C" w:rsidRDefault="000C759C" w:rsidP="000C759C">
      <w:pPr>
        <w:numPr>
          <w:ilvl w:val="0"/>
          <w:numId w:val="3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иной оплачиваемой деятельность и владение ценными бумагами;</w:t>
      </w:r>
    </w:p>
    <w:p w:rsidR="000C759C" w:rsidRPr="000C759C" w:rsidRDefault="000C759C" w:rsidP="000C759C">
      <w:pPr>
        <w:numPr>
          <w:ilvl w:val="0"/>
          <w:numId w:val="3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использования информации ограниченного доступа.</w:t>
      </w:r>
    </w:p>
    <w:p w:rsidR="000C759C" w:rsidRPr="000C759C" w:rsidRDefault="000C759C" w:rsidP="000C759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0C759C" w:rsidRPr="000C759C" w:rsidRDefault="000C759C" w:rsidP="000C759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759C">
        <w:rPr>
          <w:rFonts w:ascii="Arial" w:eastAsia="Times New Roman" w:hAnsi="Arial" w:cs="Arial"/>
          <w:b/>
          <w:bCs/>
          <w:color w:val="0060AE"/>
          <w:sz w:val="29"/>
          <w:lang w:eastAsia="ru-RU"/>
        </w:rPr>
        <w:lastRenderedPageBreak/>
        <w:t>Совет 6. Организуйте обучение и информирование работников по вопросам противодействия коррупции.</w:t>
      </w:r>
    </w:p>
    <w:p w:rsidR="000C759C" w:rsidRPr="000C759C" w:rsidRDefault="000C759C" w:rsidP="000C759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Незнание работниками </w:t>
      </w:r>
      <w:proofErr w:type="spellStart"/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антикоррупционного</w:t>
      </w:r>
      <w:proofErr w:type="spellEnd"/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законодательства и локальных актов учреждения, может обернуться для учреждения крупными штрафами. Поэтому важно не только принять </w:t>
      </w:r>
      <w:proofErr w:type="spellStart"/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антикоррупционную</w:t>
      </w:r>
      <w:proofErr w:type="spellEnd"/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политику и другие локальные акты в учреждении, но и обеспечить ознакомление работников с ними, в том числе, с использованием сайта учреждения в Интернете.</w:t>
      </w:r>
    </w:p>
    <w:p w:rsidR="000C759C" w:rsidRPr="000C759C" w:rsidRDefault="000C759C" w:rsidP="000C759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Обучающие мероприятия по вопросам профилактики и противодействия коррупции можно проводить в любых доступных формах: семинары, тренинги, лекции, совещания, методические рекомендации, памятки, консультирование по вопросам применения (соблюдения) </w:t>
      </w:r>
      <w:proofErr w:type="spellStart"/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антикоррупционных</w:t>
      </w:r>
      <w:proofErr w:type="spellEnd"/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стандартов и процедур.</w:t>
      </w:r>
    </w:p>
    <w:p w:rsidR="000C759C" w:rsidRPr="000C759C" w:rsidRDefault="000C759C" w:rsidP="000C759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Консультирование по вопросам противодействия коррупции целесообразно осуществлять индивидуально и конфиденциально должностным лицом, ответственным за противодействие коррупции.</w:t>
      </w:r>
    </w:p>
    <w:p w:rsidR="000C759C" w:rsidRPr="000C759C" w:rsidRDefault="000C759C" w:rsidP="000C759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0C759C" w:rsidRPr="000C759C" w:rsidRDefault="000C759C" w:rsidP="000C759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759C">
        <w:rPr>
          <w:rFonts w:ascii="Arial" w:eastAsia="Times New Roman" w:hAnsi="Arial" w:cs="Arial"/>
          <w:b/>
          <w:bCs/>
          <w:color w:val="0060AE"/>
          <w:sz w:val="29"/>
          <w:lang w:eastAsia="ru-RU"/>
        </w:rPr>
        <w:t>Совет 7. Проверяйте контрагентов.</w:t>
      </w:r>
    </w:p>
    <w:p w:rsidR="000C759C" w:rsidRPr="000C759C" w:rsidRDefault="000C759C" w:rsidP="000C759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Негативные последствия могут быть вызваны коррупционными рисками вне учреждения, поэтому важным аспектом </w:t>
      </w:r>
      <w:proofErr w:type="spellStart"/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антикоррупционной</w:t>
      </w:r>
      <w:proofErr w:type="spellEnd"/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деятельности является проверка контрагентов, с которыми взаимодействует учреждение  (смотрите </w:t>
      </w:r>
      <w:hyperlink r:id="rId25" w:anchor="01071959101814" w:history="1">
        <w:r w:rsidRPr="000C759C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примерную форму положения об обязательной проверке контрагентов</w:t>
        </w:r>
      </w:hyperlink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подготовленную экспертами компании "Гарант").</w:t>
      </w:r>
    </w:p>
    <w:p w:rsidR="000C759C" w:rsidRPr="000C759C" w:rsidRDefault="000C759C" w:rsidP="000C759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этого учреждение может использовать информацию, размещенную в открытом доступе (Примерный перечень таких ресурсов размещен на официальном сайте Минтруда России в сети "Интернет" по ссылке: https://rosmintrud.ru/ministry/programms/anticorruption/015), а также информацию, размещенную на сайте самого контрагента.</w:t>
      </w:r>
    </w:p>
    <w:p w:rsidR="000C759C" w:rsidRPr="000C759C" w:rsidRDefault="000C759C" w:rsidP="000C759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Профессиональный сервис "</w:t>
      </w:r>
      <w:hyperlink r:id="rId26" w:history="1">
        <w:r w:rsidRPr="000C759C">
          <w:rPr>
            <w:rFonts w:ascii="Arial" w:eastAsia="Times New Roman" w:hAnsi="Arial" w:cs="Arial"/>
            <w:color w:val="808080"/>
            <w:sz w:val="23"/>
            <w:u w:val="single"/>
            <w:lang w:eastAsia="ru-RU"/>
          </w:rPr>
          <w:t>Экспресс Проверка</w:t>
        </w:r>
      </w:hyperlink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 в составе информационно-правового обеспечения ГАРАНТ также позволит решить задачу проверки контрагента. </w:t>
      </w:r>
    </w:p>
    <w:p w:rsidR="000C759C" w:rsidRPr="000C759C" w:rsidRDefault="000C759C" w:rsidP="000C759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0C759C" w:rsidRPr="000C759C" w:rsidRDefault="000C759C" w:rsidP="000C759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759C">
        <w:rPr>
          <w:rFonts w:ascii="Arial" w:eastAsia="Times New Roman" w:hAnsi="Arial" w:cs="Arial"/>
          <w:b/>
          <w:bCs/>
          <w:color w:val="0060AE"/>
          <w:sz w:val="29"/>
          <w:lang w:eastAsia="ru-RU"/>
        </w:rPr>
        <w:t>8. Наладьте взаимодействие между подразделениями (должностными лицами) осуществляющими внутренний контроль в учреждении и подразделениями (должностными лицами) ответственными за профилактику коррупционных и иных правонарушений.</w:t>
      </w:r>
    </w:p>
    <w:p w:rsidR="000C759C" w:rsidRPr="000C759C" w:rsidRDefault="000C759C" w:rsidP="000C759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Часть мер по противодействию коррупции может осуществляться в рамках процедур внутреннего контроля и наоборот, поэтому взаимодействие данных служб поможет </w:t>
      </w:r>
      <w:proofErr w:type="gramStart"/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более оптимально</w:t>
      </w:r>
      <w:proofErr w:type="gramEnd"/>
      <w:r w:rsidRPr="000C759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использовать ресурсы учреждения.</w:t>
      </w:r>
    </w:p>
    <w:p w:rsidR="00D348D0" w:rsidRDefault="00D348D0"/>
    <w:sectPr w:rsidR="00D348D0" w:rsidSect="00D34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15DE4"/>
    <w:multiLevelType w:val="multilevel"/>
    <w:tmpl w:val="5EC0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400E70"/>
    <w:multiLevelType w:val="multilevel"/>
    <w:tmpl w:val="39FC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D7391A"/>
    <w:multiLevelType w:val="multilevel"/>
    <w:tmpl w:val="B120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59C"/>
    <w:rsid w:val="000C759C"/>
    <w:rsid w:val="00340F74"/>
    <w:rsid w:val="00C5066A"/>
    <w:rsid w:val="00D34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8D0"/>
  </w:style>
  <w:style w:type="paragraph" w:styleId="1">
    <w:name w:val="heading 1"/>
    <w:basedOn w:val="a"/>
    <w:link w:val="10"/>
    <w:uiPriority w:val="9"/>
    <w:qFormat/>
    <w:rsid w:val="000C75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5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C759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C7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759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C7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75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92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285">
          <w:marLeft w:val="0"/>
          <w:marRight w:val="37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64203/acc462f0c2d2aed6a5d717eb96fedf9b/" TargetMode="External"/><Relationship Id="rId13" Type="http://schemas.openxmlformats.org/officeDocument/2006/relationships/hyperlink" Target="https://www.garant.ru/files/9/5/1424959/reshenie_essentukskogo_gorodskogo_suda_stavropolskogo_kraya_ot_13_iyulya_2020_g__po.rtf" TargetMode="External"/><Relationship Id="rId18" Type="http://schemas.openxmlformats.org/officeDocument/2006/relationships/hyperlink" Target="http://base.garant.ru/72031098/" TargetMode="External"/><Relationship Id="rId26" Type="http://schemas.openxmlformats.org/officeDocument/2006/relationships/hyperlink" Target="http://lt.garant.ru/epk?utm_source=garant&amp;utm_medium=ia&amp;utm_content=142495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12191967/7381fc65826091bca567a1005ba6bc41/" TargetMode="External"/><Relationship Id="rId7" Type="http://schemas.openxmlformats.org/officeDocument/2006/relationships/hyperlink" Target="http://base.garant.ru/12164203/acc462f0c2d2aed6a5d717eb96fedf9b/" TargetMode="External"/><Relationship Id="rId12" Type="http://schemas.openxmlformats.org/officeDocument/2006/relationships/hyperlink" Target="http://base.garant.ru/127902247/" TargetMode="External"/><Relationship Id="rId17" Type="http://schemas.openxmlformats.org/officeDocument/2006/relationships/hyperlink" Target="https://base.garant.ru/10164358/1cafb24d049dcd1e7707a22d98e9858f/" TargetMode="External"/><Relationship Id="rId25" Type="http://schemas.openxmlformats.org/officeDocument/2006/relationships/hyperlink" Target="http://www.garant.ru/doc/forms/dr_form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10164358/1cafb24d049dcd1e7707a22d98e9858f/" TargetMode="External"/><Relationship Id="rId20" Type="http://schemas.openxmlformats.org/officeDocument/2006/relationships/hyperlink" Target="https://base.garant.ru/7275576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12164203/1cafb24d049dcd1e7707a22d98e9858f/" TargetMode="External"/><Relationship Id="rId11" Type="http://schemas.openxmlformats.org/officeDocument/2006/relationships/hyperlink" Target="https://www.garant.ru/files/9/5/1424959/reshenie_oktyabrskogo_rayonnogo_suda_g__groznogo_chechenskoy_respubliki_ot_06_aprel.rtf" TargetMode="External"/><Relationship Id="rId24" Type="http://schemas.openxmlformats.org/officeDocument/2006/relationships/hyperlink" Target="http://base.garant.ru/70353464/daf75cc17d0d1b8b796480bc59f740b8/" TargetMode="External"/><Relationship Id="rId5" Type="http://schemas.openxmlformats.org/officeDocument/2006/relationships/hyperlink" Target="http://base.garant.ru/12164203/1cafb24d049dcd1e7707a22d98e9858f/" TargetMode="External"/><Relationship Id="rId15" Type="http://schemas.openxmlformats.org/officeDocument/2006/relationships/hyperlink" Target="https://www.garant.ru/files/9/5/1424959/reshenie_novocherkasskogo_gorodskogo_suda_rostovskoy_oblasti_ot_12_marta_2019_g__p.rtf" TargetMode="External"/><Relationship Id="rId23" Type="http://schemas.openxmlformats.org/officeDocument/2006/relationships/hyperlink" Target="http://base.garant.ru/12164283/31de5683116b8d79b08fa2d768e33df6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garant.ru/files/9/5/1424959/reshenie_karsunskogo_rayonnogo_suda_ulyanovskoy_oblasti_ot_12_avgusta_2020_g__po_.rtf" TargetMode="External"/><Relationship Id="rId19" Type="http://schemas.openxmlformats.org/officeDocument/2006/relationships/hyperlink" Target="http://base.garant.ru/7099700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files/9/5/1424959/reshenie_leninskogo_rayonnogo_suda_g__orska_orenburgskoy_oblasti_ot_21_iyulya_2014_.rtf" TargetMode="External"/><Relationship Id="rId14" Type="http://schemas.openxmlformats.org/officeDocument/2006/relationships/hyperlink" Target="https://www.garant.ru/files/9/5/1424959/reshenie_essentukskogo_gorodskogo_suda_stavropolskogo_kraya_ot_14_maya_2020_g__po_.rtf" TargetMode="External"/><Relationship Id="rId22" Type="http://schemas.openxmlformats.org/officeDocument/2006/relationships/hyperlink" Target="http://base.garant.ru/12191967/741609f9002bd54a24e5c49cb5af953b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1725</Words>
  <Characters>9838</Characters>
  <Application>Microsoft Office Word</Application>
  <DocSecurity>0</DocSecurity>
  <Lines>81</Lines>
  <Paragraphs>23</Paragraphs>
  <ScaleCrop>false</ScaleCrop>
  <Company>office 2007 rus ent:</Company>
  <LinksUpToDate>false</LinksUpToDate>
  <CharactersWithSpaces>11540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2023-10-18T03:12:00Z</dcterms:created>
  <dcterms:modified xsi:type="dcterms:W3CDTF">2023-10-18T03:22:00Z</dcterms:modified>
</cp:coreProperties>
</file>